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8" w:type="dxa"/>
        <w:tblInd w:w="-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06"/>
        <w:gridCol w:w="1180"/>
        <w:gridCol w:w="403"/>
        <w:gridCol w:w="30"/>
        <w:gridCol w:w="2359"/>
        <w:gridCol w:w="1847"/>
        <w:gridCol w:w="1288"/>
        <w:gridCol w:w="31"/>
        <w:gridCol w:w="1245"/>
        <w:gridCol w:w="579"/>
        <w:gridCol w:w="1112"/>
        <w:gridCol w:w="86"/>
      </w:tblGrid>
      <w:tr w:rsidR="006E752A" w14:paraId="5D8AF03B" w14:textId="77777777" w:rsidTr="005F7D88">
        <w:trPr>
          <w:gridAfter w:val="2"/>
          <w:wAfter w:w="1198" w:type="dxa"/>
          <w:trHeight w:val="408"/>
        </w:trPr>
        <w:tc>
          <w:tcPr>
            <w:tcW w:w="2461" w:type="dxa"/>
            <w:gridSpan w:val="5"/>
            <w:hideMark/>
          </w:tcPr>
          <w:p w14:paraId="2A676D83" w14:textId="6F2BBBCB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  <w:bookmarkStart w:id="0" w:name="_Hlk138067027" w:colFirst="1" w:colLast="6"/>
            <w:r>
              <w:rPr>
                <w:noProof/>
                <w:sz w:val="20"/>
                <w:szCs w:val="22"/>
                <w:lang w:val="el-GR" w:eastAsia="el-GR"/>
              </w:rPr>
              <w:drawing>
                <wp:inline distT="0" distB="0" distL="0" distR="0" wp14:anchorId="7CA393BB" wp14:editId="5C70D1C1">
                  <wp:extent cx="542925" cy="542925"/>
                  <wp:effectExtent l="0" t="0" r="9525" b="9525"/>
                  <wp:docPr id="164394380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108BD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/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/>
                <w:bCs/>
                <w:iCs/>
                <w:sz w:val="20"/>
                <w:szCs w:val="22"/>
                <w:lang w:val="el-GR" w:eastAsia="el-GR"/>
              </w:rPr>
              <w:t>ΕΛΛΗΝΙΚΗ ΔΗΜΟΚΡΑΤΙΑ</w:t>
            </w:r>
          </w:p>
          <w:p w14:paraId="401925CF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/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/>
                <w:bCs/>
                <w:iCs/>
                <w:sz w:val="20"/>
                <w:szCs w:val="22"/>
                <w:lang w:val="el-GR" w:eastAsia="el-GR"/>
              </w:rPr>
              <w:t xml:space="preserve">ΝΟΜΟΣ ΚΟΡΙΝΘΙΑΣ </w:t>
            </w:r>
          </w:p>
          <w:p w14:paraId="1FCC464D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/>
                <w:bCs/>
                <w:iCs/>
                <w:sz w:val="20"/>
                <w:szCs w:val="22"/>
                <w:lang w:val="el-GR" w:eastAsia="el-GR"/>
              </w:rPr>
              <w:t xml:space="preserve">ΔΗΜΟΣ ΒΕΛΟΥ ΒΟΧΑΣ </w:t>
            </w:r>
          </w:p>
          <w:p w14:paraId="7AB1B21D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Cs/>
                <w:iCs/>
                <w:sz w:val="20"/>
                <w:szCs w:val="22"/>
                <w:lang w:val="el-GR" w:eastAsia="el-GR"/>
              </w:rPr>
              <w:t>ΣΠ. ΚΟΚΚΩΝΗ 2</w:t>
            </w:r>
          </w:p>
          <w:p w14:paraId="0E0B00F1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Cs/>
                <w:iCs/>
                <w:sz w:val="20"/>
                <w:szCs w:val="22"/>
                <w:lang w:val="el-GR" w:eastAsia="el-GR"/>
              </w:rPr>
              <w:t>20100 ΖΕΥΓΟΛΑΤΙΟ</w:t>
            </w:r>
          </w:p>
          <w:p w14:paraId="572FE182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bCs/>
                <w:iCs/>
                <w:sz w:val="20"/>
                <w:szCs w:val="22"/>
                <w:lang w:val="el-GR" w:eastAsia="el-GR"/>
              </w:rPr>
            </w:pPr>
            <w:r>
              <w:rPr>
                <w:bCs/>
                <w:iCs/>
                <w:sz w:val="20"/>
                <w:szCs w:val="22"/>
                <w:lang w:val="el-GR" w:eastAsia="el-GR"/>
              </w:rPr>
              <w:t>Τηλ.:2741360512-13</w:t>
            </w:r>
          </w:p>
          <w:p w14:paraId="62EB2EC3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  <w:r>
              <w:rPr>
                <w:bCs/>
                <w:iCs/>
                <w:sz w:val="20"/>
                <w:szCs w:val="22"/>
                <w:lang w:val="en-US" w:eastAsia="el-GR"/>
              </w:rPr>
              <w:t>E</w:t>
            </w:r>
            <w:r>
              <w:rPr>
                <w:bCs/>
                <w:iCs/>
                <w:sz w:val="20"/>
                <w:szCs w:val="22"/>
                <w:lang w:val="el-GR" w:eastAsia="el-GR"/>
              </w:rPr>
              <w:t>-</w:t>
            </w:r>
            <w:r>
              <w:rPr>
                <w:bCs/>
                <w:iCs/>
                <w:sz w:val="20"/>
                <w:szCs w:val="22"/>
                <w:lang w:val="en-US" w:eastAsia="el-GR"/>
              </w:rPr>
              <w:t>mail</w:t>
            </w:r>
            <w:r>
              <w:rPr>
                <w:bCs/>
                <w:iCs/>
                <w:sz w:val="20"/>
                <w:szCs w:val="22"/>
                <w:lang w:val="el-GR" w:eastAsia="el-GR"/>
              </w:rPr>
              <w:t xml:space="preserve">: </w:t>
            </w:r>
            <w:proofErr w:type="spellStart"/>
            <w:r>
              <w:rPr>
                <w:bCs/>
                <w:iCs/>
                <w:sz w:val="20"/>
                <w:szCs w:val="22"/>
                <w:lang w:val="en-US" w:eastAsia="el-GR"/>
              </w:rPr>
              <w:t>katsimalisv</w:t>
            </w:r>
            <w:proofErr w:type="spellEnd"/>
            <w:r>
              <w:rPr>
                <w:bCs/>
                <w:iCs/>
                <w:sz w:val="20"/>
                <w:szCs w:val="22"/>
                <w:lang w:val="el-GR" w:eastAsia="el-GR"/>
              </w:rPr>
              <w:t>@</w:t>
            </w:r>
            <w:proofErr w:type="spellStart"/>
            <w:r>
              <w:rPr>
                <w:bCs/>
                <w:iCs/>
                <w:sz w:val="20"/>
                <w:szCs w:val="22"/>
                <w:lang w:val="en-US" w:eastAsia="el-GR"/>
              </w:rPr>
              <w:t>vochas</w:t>
            </w:r>
            <w:proofErr w:type="spellEnd"/>
            <w:r>
              <w:rPr>
                <w:bCs/>
                <w:iCs/>
                <w:sz w:val="20"/>
                <w:szCs w:val="22"/>
                <w:lang w:val="el-GR" w:eastAsia="el-GR"/>
              </w:rPr>
              <w:t>.</w:t>
            </w:r>
            <w:r>
              <w:rPr>
                <w:bCs/>
                <w:iCs/>
                <w:sz w:val="20"/>
                <w:szCs w:val="22"/>
                <w:lang w:val="en-US" w:eastAsia="el-GR"/>
              </w:rPr>
              <w:t>gov</w:t>
            </w:r>
            <w:r>
              <w:rPr>
                <w:bCs/>
                <w:iCs/>
                <w:sz w:val="20"/>
                <w:szCs w:val="22"/>
                <w:lang w:val="el-GR" w:eastAsia="el-GR"/>
              </w:rPr>
              <w:t>.</w:t>
            </w:r>
            <w:r>
              <w:rPr>
                <w:bCs/>
                <w:iCs/>
                <w:sz w:val="20"/>
                <w:szCs w:val="22"/>
                <w:lang w:val="en-US" w:eastAsia="el-GR"/>
              </w:rPr>
              <w:t>gr</w:t>
            </w:r>
          </w:p>
        </w:tc>
        <w:tc>
          <w:tcPr>
            <w:tcW w:w="2359" w:type="dxa"/>
          </w:tcPr>
          <w:p w14:paraId="736DD650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57C3B558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0A10DB98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43C51BE7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7BCC43E8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66561710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0FBF9D5A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450445AF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 xml:space="preserve"> </w:t>
            </w:r>
          </w:p>
          <w:p w14:paraId="4FF2290F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181E002A" w14:textId="77777777" w:rsidR="006E752A" w:rsidRDefault="006E752A" w:rsidP="00FB751B">
            <w:pPr>
              <w:widowControl w:val="0"/>
              <w:suppressAutoHyphens w:val="0"/>
              <w:jc w:val="lef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4990" w:type="dxa"/>
            <w:gridSpan w:val="5"/>
          </w:tcPr>
          <w:p w14:paraId="51F90B52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5A342E3E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1EDED81E" w14:textId="0AB5B1DC" w:rsidR="006E752A" w:rsidRDefault="006E752A" w:rsidP="00853558">
            <w:pPr>
              <w:tabs>
                <w:tab w:val="left" w:pos="284"/>
              </w:tabs>
              <w:spacing w:after="0"/>
              <w:jc w:val="center"/>
              <w:rPr>
                <w:b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</w:t>
            </w:r>
          </w:p>
          <w:p w14:paraId="6615B756" w14:textId="77777777" w:rsidR="006E752A" w:rsidRDefault="006E752A" w:rsidP="00853558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Δήμου Βέλου Βόχας»</w:t>
            </w:r>
          </w:p>
          <w:p w14:paraId="6A27402C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7ED5C154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6966C28D" w14:textId="77777777" w:rsidR="006E752A" w:rsidRDefault="006E752A" w:rsidP="00FB751B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264291FC" w14:textId="77777777" w:rsidR="006E752A" w:rsidRDefault="006E752A" w:rsidP="00FB751B">
            <w:pPr>
              <w:widowControl w:val="0"/>
              <w:suppressAutoHyphens w:val="0"/>
              <w:jc w:val="left"/>
              <w:rPr>
                <w:sz w:val="20"/>
                <w:szCs w:val="22"/>
                <w:lang w:val="el-GR" w:eastAsia="el-GR"/>
              </w:rPr>
            </w:pPr>
          </w:p>
          <w:p w14:paraId="62E74690" w14:textId="77777777" w:rsidR="006E752A" w:rsidRDefault="006E752A" w:rsidP="00FB751B">
            <w:pPr>
              <w:pStyle w:val="41"/>
              <w:rPr>
                <w:lang w:val="el-GR"/>
              </w:rPr>
            </w:pPr>
          </w:p>
        </w:tc>
      </w:tr>
      <w:bookmarkEnd w:id="0"/>
      <w:tr w:rsidR="006E752A" w:rsidRPr="005F7D88" w14:paraId="0E07326F" w14:textId="77777777" w:rsidTr="005F7D88">
        <w:trPr>
          <w:gridBefore w:val="3"/>
          <w:wBefore w:w="2028" w:type="dxa"/>
          <w:trHeight w:val="231"/>
        </w:trPr>
        <w:tc>
          <w:tcPr>
            <w:tcW w:w="5958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F32E" w14:textId="77777777" w:rsidR="006E752A" w:rsidRDefault="006E752A">
            <w:pPr>
              <w:widowControl w:val="0"/>
              <w:tabs>
                <w:tab w:val="left" w:pos="46"/>
              </w:tabs>
              <w:suppressAutoHyphens w:val="0"/>
              <w:ind w:left="459" w:hanging="459"/>
              <w:jc w:val="center"/>
              <w:rPr>
                <w:b/>
                <w:sz w:val="20"/>
                <w:szCs w:val="22"/>
                <w:u w:val="single"/>
                <w:lang w:val="el-GR" w:eastAsia="el-GR"/>
              </w:rPr>
            </w:pPr>
            <w:r>
              <w:rPr>
                <w:b/>
                <w:sz w:val="20"/>
                <w:szCs w:val="22"/>
                <w:u w:val="single"/>
                <w:lang w:val="el-GR" w:eastAsia="el-GR"/>
              </w:rPr>
              <w:t xml:space="preserve">ΕΝΤΥΠΟ ΤΕΧΝΙΚΗΣ ΠΡΟΣΦΟΡΑΣ </w:t>
            </w:r>
          </w:p>
          <w:p w14:paraId="42340D31" w14:textId="77777777" w:rsidR="006E752A" w:rsidRDefault="006E752A">
            <w:pPr>
              <w:widowControl w:val="0"/>
              <w:tabs>
                <w:tab w:val="left" w:pos="46"/>
              </w:tabs>
              <w:suppressAutoHyphens w:val="0"/>
              <w:ind w:left="459" w:hanging="459"/>
              <w:jc w:val="center"/>
              <w:rPr>
                <w:b/>
                <w:sz w:val="20"/>
                <w:szCs w:val="22"/>
                <w:u w:val="single"/>
                <w:lang w:val="el-GR" w:eastAsia="el-GR"/>
              </w:rPr>
            </w:pPr>
            <w:r>
              <w:rPr>
                <w:b/>
                <w:sz w:val="20"/>
                <w:szCs w:val="22"/>
                <w:u w:val="single"/>
                <w:lang w:val="el-GR" w:eastAsia="el-GR"/>
              </w:rPr>
              <w:t>ΚΑΥΣΙΜΩΝ ΚΙΝΗΣΗΣ &amp; ΘΕΡΜΑΝΣΗΣ</w:t>
            </w:r>
          </w:p>
        </w:tc>
        <w:tc>
          <w:tcPr>
            <w:tcW w:w="302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AF6B4" w14:textId="77777777" w:rsidR="006E752A" w:rsidRDefault="006E752A">
            <w:pPr>
              <w:rPr>
                <w:b/>
                <w:sz w:val="20"/>
                <w:szCs w:val="22"/>
                <w:u w:val="single"/>
                <w:lang w:val="el-GR" w:eastAsia="el-GR"/>
              </w:rPr>
            </w:pPr>
          </w:p>
        </w:tc>
      </w:tr>
      <w:tr w:rsidR="006E752A" w14:paraId="7A333B03" w14:textId="77777777" w:rsidTr="005F7D88">
        <w:trPr>
          <w:gridBefore w:val="1"/>
          <w:gridAfter w:val="1"/>
          <w:wBefore w:w="142" w:type="dxa"/>
          <w:wAfter w:w="86" w:type="dxa"/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67409" w14:textId="77777777" w:rsidR="006E752A" w:rsidRDefault="006E752A" w:rsidP="005F7D88">
            <w:pPr>
              <w:widowControl w:val="0"/>
              <w:suppressAutoHyphens w:val="0"/>
              <w:ind w:left="360" w:hanging="360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E6172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ΕΙΔΟΣ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D4CFF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ΤΕΧΝΙΚΗ ΠΡΟΔΙΑΓΡΑΦΗ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FB2C5" w14:textId="77777777" w:rsidR="006E752A" w:rsidRDefault="006E752A" w:rsidP="005F7D88">
            <w:pPr>
              <w:widowControl w:val="0"/>
              <w:suppressAutoHyphens w:val="0"/>
              <w:ind w:left="176" w:hanging="176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A0B22" w14:textId="77777777" w:rsidR="006E752A" w:rsidRDefault="006E752A" w:rsidP="005F7D88">
            <w:pPr>
              <w:widowControl w:val="0"/>
              <w:suppressAutoHyphens w:val="0"/>
              <w:ind w:left="165" w:hanging="284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9C97B" w14:textId="77777777" w:rsidR="006E752A" w:rsidRDefault="006E752A" w:rsidP="005F7D88">
            <w:pPr>
              <w:widowControl w:val="0"/>
              <w:suppressAutoHyphens w:val="0"/>
              <w:ind w:left="360" w:hanging="195"/>
              <w:jc w:val="left"/>
              <w:rPr>
                <w:b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ΠΑΡΑΠΟΜΠΗ</w:t>
            </w:r>
          </w:p>
        </w:tc>
      </w:tr>
      <w:tr w:rsidR="006E752A" w14:paraId="38C09DCA" w14:textId="77777777" w:rsidTr="005F7D88">
        <w:trPr>
          <w:gridBefore w:val="1"/>
          <w:gridAfter w:val="1"/>
          <w:wBefore w:w="142" w:type="dxa"/>
          <w:wAfter w:w="8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DF4C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2E2B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  <w:r>
              <w:rPr>
                <w:sz w:val="20"/>
                <w:szCs w:val="22"/>
                <w:lang w:val="el-GR" w:eastAsia="el-GR"/>
              </w:rPr>
              <w:t>ΚΑΥΣΙΜΑ (βενζίνη αμόλυβδη, πετρέλαιο κίνησης – πετρέλαιο θέρμανσης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1ED01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Τα καύσιμα κίνησης (</w:t>
            </w:r>
            <w:proofErr w:type="spellStart"/>
            <w:r>
              <w:rPr>
                <w:szCs w:val="22"/>
                <w:lang w:val="el-GR" w:eastAsia="el-GR"/>
              </w:rPr>
              <w:t>Bενζίνη</w:t>
            </w:r>
            <w:proofErr w:type="spellEnd"/>
            <w:r>
              <w:rPr>
                <w:szCs w:val="22"/>
                <w:lang w:val="el-GR" w:eastAsia="el-GR"/>
              </w:rPr>
              <w:t xml:space="preserve"> αμόλυβδη, πετρέλαιο κίνησης) και το πετρέλαιο θέρμανσης θα είναι αρίστης </w:t>
            </w:r>
            <w:proofErr w:type="spellStart"/>
            <w:r>
              <w:rPr>
                <w:szCs w:val="22"/>
                <w:lang w:val="el-GR" w:eastAsia="el-GR"/>
              </w:rPr>
              <w:t>ποιότητος</w:t>
            </w:r>
            <w:proofErr w:type="spellEnd"/>
            <w:r>
              <w:rPr>
                <w:szCs w:val="22"/>
                <w:lang w:val="el-GR" w:eastAsia="el-GR"/>
              </w:rPr>
              <w:t xml:space="preserve"> και σύμφωνα με τις προδιαγραφές που επιβάλει η σχετική νομοθεσία, θα έχουν τις ιδιότητες και τα χαρακτηριστικά που προβλέπουν οι όροι αυτοί, θα είναι απαλλαγμένα από ξένα σώματα, προσμίξεις </w:t>
            </w:r>
            <w:proofErr w:type="spellStart"/>
            <w:r>
              <w:rPr>
                <w:szCs w:val="22"/>
                <w:lang w:val="el-GR" w:eastAsia="el-GR"/>
              </w:rPr>
              <w:t>κ.λ.π</w:t>
            </w:r>
            <w:proofErr w:type="spellEnd"/>
            <w:r>
              <w:rPr>
                <w:szCs w:val="22"/>
                <w:lang w:val="el-GR" w:eastAsia="el-GR"/>
              </w:rPr>
              <w:t xml:space="preserve">. και θα είναι κατάλληλα από κάθε πλευρά για τη χρήση για την οποία τα προορίζει ο Δήμος. Η ποιότητα τους θα είναι εκείνη των προϊόντων των Ελληνικών Κρατικών Διυλιστηρίων (Ασπροπύργου </w:t>
            </w:r>
            <w:proofErr w:type="spellStart"/>
            <w:r>
              <w:rPr>
                <w:szCs w:val="22"/>
                <w:lang w:val="el-GR" w:eastAsia="el-GR"/>
              </w:rPr>
              <w:t>κ.λ.π</w:t>
            </w:r>
            <w:proofErr w:type="spellEnd"/>
            <w:r>
              <w:rPr>
                <w:szCs w:val="22"/>
                <w:lang w:val="el-GR" w:eastAsia="el-GR"/>
              </w:rPr>
              <w:t>.) και θα πληρούν τις προδιαγραφές που εκάστοτε ορίζονται από το Ανώτατο Χημικό Συμβούλιο του Γενικού Χημείου του Κράτους ή ισοδύναμου οργανισμού άλλων κρατών μελών της Ε.Ε.</w:t>
            </w:r>
          </w:p>
          <w:p w14:paraId="153E20D9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E460" w14:textId="77777777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b/>
                <w:sz w:val="20"/>
                <w:szCs w:val="22"/>
                <w:lang w:val="el-GR" w:eastAsia="el-GR"/>
              </w:rPr>
            </w:pPr>
            <w:r>
              <w:rPr>
                <w:b/>
                <w:sz w:val="20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BEB8D" w14:textId="4A59FE8F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84E4C" w14:textId="79879BDF" w:rsidR="006E752A" w:rsidRDefault="006E752A" w:rsidP="005F7D88">
            <w:pPr>
              <w:widowControl w:val="0"/>
              <w:suppressAutoHyphens w:val="0"/>
              <w:ind w:left="360"/>
              <w:jc w:val="left"/>
              <w:rPr>
                <w:sz w:val="20"/>
                <w:szCs w:val="22"/>
                <w:lang w:val="el-GR" w:eastAsia="el-GR"/>
              </w:rPr>
            </w:pPr>
          </w:p>
        </w:tc>
      </w:tr>
    </w:tbl>
    <w:p w14:paraId="5072229A" w14:textId="77777777" w:rsidR="006E752A" w:rsidRDefault="006E752A" w:rsidP="00853558">
      <w:pPr>
        <w:widowControl w:val="0"/>
        <w:suppressAutoHyphens w:val="0"/>
        <w:ind w:left="-851"/>
        <w:jc w:val="left"/>
        <w:rPr>
          <w:sz w:val="20"/>
          <w:szCs w:val="22"/>
          <w:lang w:val="el-GR" w:eastAsia="el-GR"/>
        </w:rPr>
      </w:pPr>
      <w:r>
        <w:rPr>
          <w:sz w:val="20"/>
          <w:szCs w:val="22"/>
          <w:lang w:val="el-GR" w:eastAsia="el-GR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14:paraId="45A64E14" w14:textId="77777777" w:rsidR="006E752A" w:rsidRDefault="006E752A" w:rsidP="00853558">
      <w:pPr>
        <w:widowControl w:val="0"/>
        <w:suppressAutoHyphens w:val="0"/>
        <w:ind w:left="-851"/>
        <w:jc w:val="left"/>
        <w:rPr>
          <w:sz w:val="20"/>
          <w:szCs w:val="22"/>
          <w:lang w:val="el-GR" w:eastAsia="el-GR"/>
        </w:rPr>
      </w:pPr>
      <w:r>
        <w:rPr>
          <w:sz w:val="20"/>
          <w:szCs w:val="22"/>
          <w:lang w:val="el-GR" w:eastAsia="el-GR"/>
        </w:rPr>
        <w:t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προδιαγραφές.</w:t>
      </w:r>
    </w:p>
    <w:p w14:paraId="180E30D5" w14:textId="77777777" w:rsidR="006E752A" w:rsidRDefault="006E752A" w:rsidP="00853558">
      <w:pPr>
        <w:widowControl w:val="0"/>
        <w:suppressAutoHyphens w:val="0"/>
        <w:ind w:left="-851"/>
        <w:jc w:val="left"/>
        <w:rPr>
          <w:sz w:val="20"/>
          <w:szCs w:val="22"/>
          <w:lang w:val="el-GR" w:eastAsia="el-GR"/>
        </w:rPr>
      </w:pPr>
      <w:r>
        <w:rPr>
          <w:sz w:val="20"/>
          <w:szCs w:val="22"/>
          <w:lang w:val="el-GR" w:eastAsia="el-GR"/>
        </w:rPr>
        <w:t>Στη στήλη «ΑΠΑΝΤΗΣΗ» σημειώνεται  η απάντηση του προμηθευτή που έχει τη  μορφή   ΝΑΙ/ΟΧΙ εάν τα είδη των καυσίμων που προσφέρει καλύπτουν τις αντίστοιχες τεχνικές   Προδιαγραφές</w:t>
      </w:r>
    </w:p>
    <w:p w14:paraId="73740D81" w14:textId="77777777" w:rsidR="006E752A" w:rsidRDefault="006E752A" w:rsidP="00853558">
      <w:pPr>
        <w:widowControl w:val="0"/>
        <w:suppressAutoHyphens w:val="0"/>
        <w:ind w:left="-851"/>
        <w:jc w:val="left"/>
        <w:rPr>
          <w:sz w:val="20"/>
          <w:szCs w:val="22"/>
          <w:lang w:val="el-GR" w:eastAsia="el-GR"/>
        </w:rPr>
      </w:pPr>
      <w:r>
        <w:rPr>
          <w:sz w:val="20"/>
          <w:szCs w:val="22"/>
          <w:lang w:val="el-GR" w:eastAsia="el-GR"/>
        </w:rPr>
        <w:t>Στη στήλη «ΠΑΡΑΠΟΜΠΗ» σημειώνεται  η απάντηση του προμηθευτή, σε πιο από τα τεχνικά φυλλάδια (</w:t>
      </w:r>
      <w:proofErr w:type="spellStart"/>
      <w:r>
        <w:rPr>
          <w:sz w:val="20"/>
          <w:szCs w:val="22"/>
          <w:lang w:val="el-GR" w:eastAsia="el-GR"/>
        </w:rPr>
        <w:t>Prospectus</w:t>
      </w:r>
      <w:proofErr w:type="spellEnd"/>
      <w:r>
        <w:rPr>
          <w:sz w:val="20"/>
          <w:szCs w:val="22"/>
          <w:lang w:val="el-GR" w:eastAsia="el-GR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.</w:t>
      </w:r>
    </w:p>
    <w:p w14:paraId="465D73CB" w14:textId="77777777" w:rsidR="006E752A" w:rsidRDefault="006E752A" w:rsidP="006E752A">
      <w:pPr>
        <w:widowControl w:val="0"/>
        <w:suppressAutoHyphens w:val="0"/>
        <w:ind w:left="6840"/>
        <w:rPr>
          <w:b/>
          <w:sz w:val="20"/>
          <w:szCs w:val="22"/>
          <w:lang w:val="el-GR" w:eastAsia="el-GR"/>
        </w:rPr>
      </w:pPr>
      <w:r>
        <w:rPr>
          <w:b/>
          <w:sz w:val="20"/>
          <w:szCs w:val="22"/>
          <w:lang w:val="el-GR" w:eastAsia="el-GR"/>
        </w:rPr>
        <w:lastRenderedPageBreak/>
        <w:t xml:space="preserve">Ο ΠΡΟΣΦΕΡΩΝ </w:t>
      </w:r>
    </w:p>
    <w:sectPr w:rsidR="006E7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2A"/>
    <w:rsid w:val="00096DC8"/>
    <w:rsid w:val="00330987"/>
    <w:rsid w:val="005F7D88"/>
    <w:rsid w:val="006E752A"/>
    <w:rsid w:val="00853558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9975"/>
  <w15:chartTrackingRefBased/>
  <w15:docId w15:val="{8B5A8C15-37EE-4E13-93F5-E98D3BD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2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uiPriority w:val="1"/>
    <w:qFormat/>
    <w:rsid w:val="006E752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2023-07-03T09:53:00Z</cp:lastPrinted>
  <dcterms:created xsi:type="dcterms:W3CDTF">2023-06-23T09:55:00Z</dcterms:created>
  <dcterms:modified xsi:type="dcterms:W3CDTF">2023-07-03T09:53:00Z</dcterms:modified>
</cp:coreProperties>
</file>